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0EB7C" w14:textId="77777777" w:rsidR="00F80529" w:rsidRDefault="00633F00">
      <w:pPr>
        <w:spacing w:after="0" w:line="259" w:lineRule="auto"/>
        <w:ind w:left="29"/>
        <w:jc w:val="center"/>
      </w:pPr>
      <w:bookmarkStart w:id="0" w:name="_GoBack"/>
      <w:bookmarkEnd w:id="0"/>
      <w:r>
        <w:rPr>
          <w:sz w:val="24"/>
        </w:rPr>
        <w:t>THE CAPITAL MARKETS ACT</w:t>
      </w:r>
    </w:p>
    <w:p w14:paraId="4356E1AB" w14:textId="77777777" w:rsidR="00F80529" w:rsidRDefault="00633F00">
      <w:pPr>
        <w:spacing w:after="0" w:line="259" w:lineRule="auto"/>
        <w:ind w:left="19" w:firstLine="0"/>
        <w:jc w:val="center"/>
      </w:pPr>
      <w:r>
        <w:rPr>
          <w:sz w:val="22"/>
        </w:rPr>
        <w:t>Chapter 485A of the Laws of Kenya</w:t>
      </w:r>
    </w:p>
    <w:p w14:paraId="771C2CFE" w14:textId="77777777" w:rsidR="00F80529" w:rsidRDefault="00633F00">
      <w:pPr>
        <w:spacing w:after="303" w:line="259" w:lineRule="auto"/>
        <w:ind w:left="134" w:firstLine="0"/>
        <w:jc w:val="left"/>
      </w:pPr>
      <w:r>
        <w:rPr>
          <w:sz w:val="22"/>
        </w:rPr>
        <w:t>Regulation 4(3) of the Capital Markets (Take-overs and Mergers) Regulations, 2002</w:t>
      </w:r>
    </w:p>
    <w:p w14:paraId="0EF6FE3E" w14:textId="77777777" w:rsidR="00F80529" w:rsidRDefault="00633F00">
      <w:pPr>
        <w:spacing w:before="316" w:after="0" w:line="259" w:lineRule="auto"/>
        <w:ind w:left="29"/>
        <w:jc w:val="center"/>
      </w:pPr>
      <w:r>
        <w:rPr>
          <w:sz w:val="24"/>
        </w:rPr>
        <w:t>PUBLIC ANNOUNCEMENT</w:t>
      </w:r>
    </w:p>
    <w:p w14:paraId="34844EA4" w14:textId="77777777" w:rsidR="00F80529" w:rsidRDefault="00633F00">
      <w:pPr>
        <w:spacing w:after="0" w:line="259" w:lineRule="auto"/>
        <w:ind w:left="29" w:right="5"/>
        <w:jc w:val="center"/>
      </w:pPr>
      <w:r>
        <w:rPr>
          <w:sz w:val="24"/>
        </w:rPr>
        <w:t>ACQUISITION BY THE GOVERNMENT OF THE REPUBLIC OF KENYA</w:t>
      </w:r>
    </w:p>
    <w:p w14:paraId="52C9B34F" w14:textId="77777777" w:rsidR="00F80529" w:rsidRDefault="00633F00">
      <w:pPr>
        <w:spacing w:after="0" w:line="259" w:lineRule="auto"/>
        <w:ind w:left="29" w:right="5"/>
        <w:jc w:val="center"/>
      </w:pPr>
      <w:r>
        <w:rPr>
          <w:sz w:val="26"/>
        </w:rPr>
        <w:t>OF EFFECTIVE CONTROL OVER 48.9% OF THE ORDINARY VOTING</w:t>
      </w:r>
    </w:p>
    <w:p w14:paraId="1EF0AD5A" w14:textId="77777777" w:rsidR="00F80529" w:rsidRDefault="00633F00">
      <w:pPr>
        <w:spacing w:after="0" w:line="259" w:lineRule="auto"/>
        <w:ind w:left="29"/>
        <w:jc w:val="center"/>
      </w:pPr>
      <w:r>
        <w:rPr>
          <w:sz w:val="26"/>
        </w:rPr>
        <w:t>SHARES IN THE CAPITAL OF KENYA AIRWAYS PLC</w:t>
      </w:r>
    </w:p>
    <w:p w14:paraId="12370C65" w14:textId="77777777" w:rsidR="00F80529" w:rsidRDefault="00633F00">
      <w:pPr>
        <w:spacing w:after="307" w:line="259" w:lineRule="auto"/>
        <w:ind w:left="0" w:right="-14" w:firstLine="0"/>
        <w:jc w:val="left"/>
      </w:pPr>
      <w:r>
        <w:rPr>
          <w:noProof/>
          <w:sz w:val="22"/>
        </w:rPr>
        <mc:AlternateContent>
          <mc:Choice Requires="wpg">
            <w:drawing>
              <wp:inline distT="0" distB="0" distL="0" distR="0" wp14:anchorId="18E0F78B" wp14:editId="09853C02">
                <wp:extent cx="4682602" cy="12194"/>
                <wp:effectExtent l="0" t="0" r="0" b="0"/>
                <wp:docPr id="15133" name="Group 15133"/>
                <wp:cNvGraphicFramePr/>
                <a:graphic xmlns:a="http://schemas.openxmlformats.org/drawingml/2006/main">
                  <a:graphicData uri="http://schemas.microsoft.com/office/word/2010/wordprocessingGroup">
                    <wpg:wgp>
                      <wpg:cNvGrpSpPr/>
                      <wpg:grpSpPr>
                        <a:xfrm>
                          <a:off x="0" y="0"/>
                          <a:ext cx="4682602" cy="12194"/>
                          <a:chOff x="0" y="0"/>
                          <a:chExt cx="4682602" cy="12194"/>
                        </a:xfrm>
                      </wpg:grpSpPr>
                      <wps:wsp>
                        <wps:cNvPr id="15132" name="Shape 15132"/>
                        <wps:cNvSpPr/>
                        <wps:spPr>
                          <a:xfrm>
                            <a:off x="0" y="0"/>
                            <a:ext cx="4682602" cy="12194"/>
                          </a:xfrm>
                          <a:custGeom>
                            <a:avLst/>
                            <a:gdLst/>
                            <a:ahLst/>
                            <a:cxnLst/>
                            <a:rect l="0" t="0" r="0" b="0"/>
                            <a:pathLst>
                              <a:path w="4682602" h="12194">
                                <a:moveTo>
                                  <a:pt x="0" y="6097"/>
                                </a:moveTo>
                                <a:lnTo>
                                  <a:pt x="4682602"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133" style="width:368.709pt;height:0.960159pt;mso-position-horizontal-relative:char;mso-position-vertical-relative:line" coordsize="46826,121">
                <v:shape id="Shape 15132" style="position:absolute;width:46826;height:121;left:0;top:0;" coordsize="4682602,12194" path="m0,6097l4682602,6097">
                  <v:stroke weight="0.960159pt" endcap="flat" joinstyle="miter" miterlimit="1" on="true" color="#000000"/>
                  <v:fill on="false" color="#000000"/>
                </v:shape>
              </v:group>
            </w:pict>
          </mc:Fallback>
        </mc:AlternateContent>
      </w:r>
    </w:p>
    <w:p w14:paraId="64E34918" w14:textId="77777777" w:rsidR="00F80529" w:rsidRDefault="00633F00">
      <w:pPr>
        <w:spacing w:after="175"/>
      </w:pPr>
      <w:r>
        <w:t>Pursuant to Regulation 4(3) of The Capital Markets (Take-overs &amp; Mergers) Regulations, 2002 (the "Take-overs Regulations"), the Government of the Republic K</w:t>
      </w:r>
      <w:r>
        <w:t>enya ("</w:t>
      </w:r>
      <w:proofErr w:type="spellStart"/>
      <w:r>
        <w:t>GoK</w:t>
      </w:r>
      <w:proofErr w:type="spellEnd"/>
      <w:r>
        <w:t xml:space="preserve">" or the "Government") hereby announces to the public that pursuant to a restructuring which Kenya Airways PLC ( </w:t>
      </w:r>
      <w:r>
        <w:rPr>
          <w:vertAlign w:val="superscript"/>
        </w:rPr>
        <w:t xml:space="preserve">II </w:t>
      </w:r>
      <w:r>
        <w:t xml:space="preserve">KQ") is undergoing (the "Restructuring"), </w:t>
      </w:r>
      <w:proofErr w:type="spellStart"/>
      <w:r>
        <w:t>GoK</w:t>
      </w:r>
      <w:proofErr w:type="spellEnd"/>
      <w:r>
        <w:t xml:space="preserve"> shall acquire effective control in KQ and it shall make an application to the Capita</w:t>
      </w:r>
      <w:r>
        <w:t>l Markets Authority (the "CMA") for exemption from the take-over requirements, in compliance with the Take-overs Regulations.</w:t>
      </w:r>
    </w:p>
    <w:p w14:paraId="7E7805B7" w14:textId="77777777" w:rsidR="00F80529" w:rsidRDefault="00633F00">
      <w:pPr>
        <w:numPr>
          <w:ilvl w:val="0"/>
          <w:numId w:val="1"/>
        </w:numPr>
        <w:ind w:left="285" w:hanging="278"/>
      </w:pPr>
      <w:r>
        <w:t>The Proposed Offeree</w:t>
      </w:r>
    </w:p>
    <w:p w14:paraId="5D80422D" w14:textId="77777777" w:rsidR="00F80529" w:rsidRDefault="00633F00">
      <w:pPr>
        <w:spacing w:after="196"/>
        <w:ind w:left="278"/>
      </w:pPr>
      <w:r>
        <w:t xml:space="preserve">The proposed offeree is Kenya Airways PLC, a public limited liability company incorporated under the laws of </w:t>
      </w:r>
      <w:r>
        <w:t>Kenya (company number C.28/2005), listed on the Main Investment Market Segment of the Nairobi Securities Exchange Limited (the "NSE") of P. O. Box Number 19002 - 00501, Nairobi, Kenya and whose registered office is at Airport North Road, Embakasi, Kenya.</w:t>
      </w:r>
    </w:p>
    <w:p w14:paraId="1C77AC90" w14:textId="77777777" w:rsidR="00F80529" w:rsidRDefault="00633F00">
      <w:pPr>
        <w:numPr>
          <w:ilvl w:val="0"/>
          <w:numId w:val="1"/>
        </w:numPr>
        <w:ind w:left="285" w:hanging="278"/>
      </w:pPr>
      <w:r>
        <w:t>T</w:t>
      </w:r>
      <w:r>
        <w:t>he Proposed Offeror</w:t>
      </w:r>
    </w:p>
    <w:p w14:paraId="3623DF96" w14:textId="77777777" w:rsidR="00F80529" w:rsidRDefault="00633F00">
      <w:pPr>
        <w:spacing w:after="180"/>
        <w:ind w:left="278"/>
      </w:pPr>
      <w:r>
        <w:t xml:space="preserve">The proposed offeror is </w:t>
      </w:r>
      <w:proofErr w:type="spellStart"/>
      <w:r>
        <w:t>GoK</w:t>
      </w:r>
      <w:proofErr w:type="spellEnd"/>
      <w:r>
        <w:t>, represented by the Cabinet Secretary to the National Treasury.</w:t>
      </w:r>
    </w:p>
    <w:p w14:paraId="19455E14" w14:textId="77777777" w:rsidR="00F80529" w:rsidRDefault="00633F00">
      <w:pPr>
        <w:numPr>
          <w:ilvl w:val="0"/>
          <w:numId w:val="1"/>
        </w:numPr>
        <w:ind w:left="285" w:hanging="278"/>
      </w:pPr>
      <w:r>
        <w:t xml:space="preserve">Current Shareholding by </w:t>
      </w:r>
      <w:proofErr w:type="spellStart"/>
      <w:r>
        <w:t>GoK</w:t>
      </w:r>
      <w:proofErr w:type="spellEnd"/>
      <w:r>
        <w:t xml:space="preserve"> in KQ</w:t>
      </w:r>
    </w:p>
    <w:p w14:paraId="1536DDEA" w14:textId="77777777" w:rsidR="00F80529" w:rsidRDefault="00633F00">
      <w:pPr>
        <w:spacing w:after="165"/>
        <w:ind w:left="278"/>
      </w:pPr>
      <w:r>
        <w:t>COK owns 445,920,557 ordinary shares in KQ comprising 29.8% of the issued share capital of KQ.</w:t>
      </w:r>
    </w:p>
    <w:p w14:paraId="74EC19C5" w14:textId="77777777" w:rsidR="00F80529" w:rsidRDefault="00633F00">
      <w:pPr>
        <w:numPr>
          <w:ilvl w:val="0"/>
          <w:numId w:val="1"/>
        </w:numPr>
        <w:ind w:left="285" w:hanging="278"/>
      </w:pPr>
      <w:r>
        <w:t xml:space="preserve">Proposed Acquisition of Additional Shares of KQ by </w:t>
      </w:r>
      <w:proofErr w:type="spellStart"/>
      <w:r>
        <w:t>GoK</w:t>
      </w:r>
      <w:proofErr w:type="spellEnd"/>
    </w:p>
    <w:p w14:paraId="20A58A83" w14:textId="77777777" w:rsidR="00F80529" w:rsidRDefault="00633F00">
      <w:pPr>
        <w:spacing w:after="155"/>
        <w:ind w:left="278"/>
      </w:pPr>
      <w:r>
        <w:t>COK has advanced loans to KQ in the amount of KES 4,224,000,000 and USD 197,295,194 and accrued interest thereon (together, the "</w:t>
      </w:r>
      <w:proofErr w:type="spellStart"/>
      <w:r>
        <w:t>GoK</w:t>
      </w:r>
      <w:proofErr w:type="spellEnd"/>
      <w:r>
        <w:t xml:space="preserve"> Loans").</w:t>
      </w:r>
    </w:p>
    <w:p w14:paraId="09BF8575" w14:textId="77777777" w:rsidR="00F80529" w:rsidRDefault="00633F00">
      <w:pPr>
        <w:spacing w:after="157"/>
        <w:ind w:left="278"/>
      </w:pPr>
      <w:r>
        <w:rPr>
          <w:noProof/>
          <w:sz w:val="22"/>
        </w:rPr>
        <mc:AlternateContent>
          <mc:Choice Requires="wpg">
            <w:drawing>
              <wp:anchor distT="0" distB="0" distL="114300" distR="114300" simplePos="0" relativeHeight="251658240" behindDoc="0" locked="0" layoutInCell="1" allowOverlap="1" wp14:anchorId="575BC828" wp14:editId="771A7F8B">
                <wp:simplePos x="0" y="0"/>
                <wp:positionH relativeFrom="page">
                  <wp:posOffset>106700</wp:posOffset>
                </wp:positionH>
                <wp:positionV relativeFrom="page">
                  <wp:posOffset>859677</wp:posOffset>
                </wp:positionV>
                <wp:extent cx="4682602" cy="9146"/>
                <wp:effectExtent l="0" t="0" r="0" b="0"/>
                <wp:wrapTopAndBottom/>
                <wp:docPr id="15135" name="Group 15135"/>
                <wp:cNvGraphicFramePr/>
                <a:graphic xmlns:a="http://schemas.openxmlformats.org/drawingml/2006/main">
                  <a:graphicData uri="http://schemas.microsoft.com/office/word/2010/wordprocessingGroup">
                    <wpg:wgp>
                      <wpg:cNvGrpSpPr/>
                      <wpg:grpSpPr>
                        <a:xfrm>
                          <a:off x="0" y="0"/>
                          <a:ext cx="4682602" cy="9146"/>
                          <a:chOff x="0" y="0"/>
                          <a:chExt cx="4682602" cy="9146"/>
                        </a:xfrm>
                      </wpg:grpSpPr>
                      <wps:wsp>
                        <wps:cNvPr id="15134" name="Shape 15134"/>
                        <wps:cNvSpPr/>
                        <wps:spPr>
                          <a:xfrm>
                            <a:off x="0" y="0"/>
                            <a:ext cx="4682602" cy="9146"/>
                          </a:xfrm>
                          <a:custGeom>
                            <a:avLst/>
                            <a:gdLst/>
                            <a:ahLst/>
                            <a:cxnLst/>
                            <a:rect l="0" t="0" r="0" b="0"/>
                            <a:pathLst>
                              <a:path w="4682602" h="9146">
                                <a:moveTo>
                                  <a:pt x="0" y="4573"/>
                                </a:moveTo>
                                <a:lnTo>
                                  <a:pt x="4682602"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5135" style="width:368.709pt;height:0.720123pt;position:absolute;mso-position-horizontal-relative:page;mso-position-horizontal:absolute;margin-left:8.40157pt;mso-position-vertical-relative:page;margin-top:67.6911pt;" coordsize="46826,91">
                <v:shape id="Shape 15134" style="position:absolute;width:46826;height:91;left:0;top:0;" coordsize="4682602,9146" path="m0,4573l4682602,4573">
                  <v:stroke weight="0.720123pt" endcap="flat" joinstyle="miter" miterlimit="1" on="true" color="#000000"/>
                  <v:fill on="false" color="#000000"/>
                </v:shape>
                <w10:wrap type="topAndBottom"/>
              </v:group>
            </w:pict>
          </mc:Fallback>
        </mc:AlternateContent>
      </w:r>
      <w:r>
        <w:t xml:space="preserve">As part of the Restructuring the </w:t>
      </w:r>
      <w:proofErr w:type="spellStart"/>
      <w:r>
        <w:t>GoK</w:t>
      </w:r>
      <w:proofErr w:type="spellEnd"/>
      <w:r>
        <w:t xml:space="preserve"> Loans will be convert</w:t>
      </w:r>
      <w:r>
        <w:t xml:space="preserve">ed into equity pursuant to agreements to be entered into between KQ and the Government setting out the terms and conditions of restructuring the COK Loans. In addition, </w:t>
      </w:r>
      <w:proofErr w:type="spellStart"/>
      <w:r>
        <w:t>GoK</w:t>
      </w:r>
      <w:proofErr w:type="spellEnd"/>
      <w:r>
        <w:t xml:space="preserve"> will provide further credit support in the form of sovereign contingent guarantees.</w:t>
      </w:r>
      <w:r>
        <w:t xml:space="preserve"> The debt conversion and the consideration for the issue of the sovereign guarantees by COK will be </w:t>
      </w:r>
      <w:proofErr w:type="gramStart"/>
      <w:r>
        <w:t>effected</w:t>
      </w:r>
      <w:proofErr w:type="gramEnd"/>
      <w:r>
        <w:t xml:space="preserve"> through an issue of new ordinary shares of KQ credited as fully paid up. Details of the debt conversion with respect to a portion of the COK Loans </w:t>
      </w:r>
      <w:r>
        <w:t>and subscription of shares in consideration of the issue of the sovereign guarantees are set out in a debt conversion and subscription agreement between COK and KQ (the "Debt Conversion and Subscription Agreement").</w:t>
      </w:r>
    </w:p>
    <w:p w14:paraId="136F8005" w14:textId="77777777" w:rsidR="00F80529" w:rsidRDefault="00633F00">
      <w:pPr>
        <w:spacing w:after="153"/>
        <w:ind w:left="278"/>
      </w:pPr>
      <w:r>
        <w:t>The effect of the Debt Conversion and Su</w:t>
      </w:r>
      <w:r>
        <w:t xml:space="preserve">bscription Agreement is the acquisition by </w:t>
      </w:r>
      <w:proofErr w:type="spellStart"/>
      <w:r>
        <w:t>GoK</w:t>
      </w:r>
      <w:proofErr w:type="spellEnd"/>
      <w:r>
        <w:t xml:space="preserve"> of an additional 19.1% of the ordinary voting shares in the capital of KQ (the "Proposed Acquisition") resulting in the increase of </w:t>
      </w:r>
      <w:proofErr w:type="spellStart"/>
      <w:r>
        <w:t>GoK's</w:t>
      </w:r>
      <w:proofErr w:type="spellEnd"/>
      <w:r>
        <w:t xml:space="preserve"> shareholding in the capital of KQ from 29.8% to 48.9% of the ordinary v</w:t>
      </w:r>
      <w:r>
        <w:t>oting shares.</w:t>
      </w:r>
    </w:p>
    <w:p w14:paraId="378F013B" w14:textId="77777777" w:rsidR="00F80529" w:rsidRDefault="00633F00">
      <w:pPr>
        <w:spacing w:after="192"/>
        <w:ind w:left="278"/>
      </w:pPr>
      <w:r>
        <w:t xml:space="preserve">In addition to the acquisition of equity under the Debt Conversion and Subscription Agreement, the Government and KQ have entered into a </w:t>
      </w:r>
      <w:proofErr w:type="gramStart"/>
      <w:r>
        <w:t>zero coupon</w:t>
      </w:r>
      <w:proofErr w:type="gramEnd"/>
      <w:r>
        <w:t xml:space="preserve"> ordinary mandatorily convertible loan agreement in relation to settlement of the remaining po</w:t>
      </w:r>
      <w:r>
        <w:t>rtion of the COK Loans (the "Zero Coupon Ordinary Mandatorily Convertible Loan Agreement"). The effect of the Zero Coupon Ordinary Mandatorily Convertible Loan Agreement is the issuance of ordinary shares to the Government at a future date in accordance wi</w:t>
      </w:r>
      <w:r>
        <w:t>th the terms of the Zero Coupon Ordinary Mandatorily Convertible Loan Agreement.</w:t>
      </w:r>
    </w:p>
    <w:p w14:paraId="042EFDDE" w14:textId="77777777" w:rsidR="00F80529" w:rsidRDefault="00633F00">
      <w:pPr>
        <w:numPr>
          <w:ilvl w:val="0"/>
          <w:numId w:val="2"/>
        </w:numPr>
        <w:ind w:left="284" w:hanging="274"/>
      </w:pPr>
      <w:r>
        <w:t>Application for Exemption from the requirement to make a Take-over Offer</w:t>
      </w:r>
    </w:p>
    <w:p w14:paraId="19CDE16D" w14:textId="77777777" w:rsidR="00F80529" w:rsidRDefault="00633F00">
      <w:pPr>
        <w:spacing w:after="140"/>
        <w:ind w:left="278"/>
      </w:pPr>
      <w:r>
        <w:t>COK does NOT intend to make a take-over offer for KQ and has applied to the CMA in accordance with Reg</w:t>
      </w:r>
      <w:r>
        <w:t>ulation 4 of the Take-overs Regulations for an exemption from complying with the requirement to make a take-over offer on the grounds that the Restructuring:</w:t>
      </w:r>
    </w:p>
    <w:p w14:paraId="0A4DD9C8" w14:textId="77777777" w:rsidR="00F80529" w:rsidRDefault="00633F00">
      <w:pPr>
        <w:numPr>
          <w:ilvl w:val="1"/>
          <w:numId w:val="2"/>
        </w:numPr>
        <w:spacing w:after="137"/>
        <w:ind w:left="474" w:hanging="206"/>
      </w:pPr>
      <w:r>
        <w:t>entails restructuring a listed company's share capital, in this instance KQ, in accordance with Re</w:t>
      </w:r>
      <w:r>
        <w:t>gulation 5(2) (c) of the Take-over Regulations;</w:t>
      </w:r>
    </w:p>
    <w:p w14:paraId="67A8968F" w14:textId="77777777" w:rsidR="00F80529" w:rsidRDefault="00633F00">
      <w:pPr>
        <w:numPr>
          <w:ilvl w:val="1"/>
          <w:numId w:val="2"/>
        </w:numPr>
        <w:spacing w:after="140"/>
        <w:ind w:left="474" w:hanging="206"/>
      </w:pPr>
      <w:r>
        <w:t>entails an acquisition of a listed company in financial distress, in this instance KQ, in accordance with Regulation 5(2) (d) of the Take-over Regulations; and</w:t>
      </w:r>
    </w:p>
    <w:p w14:paraId="49A4E209" w14:textId="77777777" w:rsidR="00F80529" w:rsidRDefault="00633F00">
      <w:pPr>
        <w:numPr>
          <w:ilvl w:val="1"/>
          <w:numId w:val="2"/>
        </w:numPr>
        <w:spacing w:after="179"/>
        <w:ind w:left="474" w:hanging="206"/>
      </w:pPr>
      <w:r>
        <w:t>serves public interest in accordance with Regula</w:t>
      </w:r>
      <w:r>
        <w:t>tion 5(2)(g) of the Take-overs Regulations.</w:t>
      </w:r>
    </w:p>
    <w:p w14:paraId="5580574C" w14:textId="77777777" w:rsidR="00F80529" w:rsidRDefault="00633F00">
      <w:pPr>
        <w:numPr>
          <w:ilvl w:val="0"/>
          <w:numId w:val="2"/>
        </w:numPr>
        <w:spacing w:after="0" w:line="259" w:lineRule="auto"/>
        <w:ind w:left="284" w:hanging="274"/>
      </w:pPr>
      <w:r>
        <w:rPr>
          <w:sz w:val="20"/>
        </w:rPr>
        <w:t>Persons acting in concert</w:t>
      </w:r>
    </w:p>
    <w:p w14:paraId="37A1EB42" w14:textId="77777777" w:rsidR="00F80529" w:rsidRDefault="00633F00">
      <w:pPr>
        <w:spacing w:after="172"/>
        <w:ind w:left="278"/>
      </w:pPr>
      <w:r>
        <w:t>There are no persons acting in concert with the Government.</w:t>
      </w:r>
    </w:p>
    <w:p w14:paraId="59CB04FD" w14:textId="77777777" w:rsidR="00F80529" w:rsidRDefault="00633F00">
      <w:pPr>
        <w:numPr>
          <w:ilvl w:val="0"/>
          <w:numId w:val="2"/>
        </w:numPr>
        <w:ind w:left="284" w:hanging="274"/>
      </w:pPr>
      <w:r>
        <w:t>Debt Conversion and Subscription Agreement and Zero Coupon Ordinary Mandatorily Convertible Loan Agreement</w:t>
      </w:r>
    </w:p>
    <w:p w14:paraId="5C8B38B9" w14:textId="77777777" w:rsidR="00F80529" w:rsidRDefault="00633F00">
      <w:pPr>
        <w:spacing w:after="157"/>
        <w:ind w:left="278"/>
      </w:pPr>
      <w:r>
        <w:lastRenderedPageBreak/>
        <w:t>COK and KQ entered into the Debt Conversion and Subscription Agreement and the Zero Coupon Ordinary Mandatorily Convertible Loan Agreement. Completion of the Proposed Acquisition is subject to the conditions under the Debt Conversion and Subscription Agree</w:t>
      </w:r>
      <w:r>
        <w:t>ment and the Zero Coupon Ordinary Mandatorily Convertible Loan Agreement having been met or waived as legally permissible and the Debt Conversion and Subscription Agreement being completed in accordance with its terms.</w:t>
      </w:r>
    </w:p>
    <w:p w14:paraId="640BF0BD" w14:textId="77777777" w:rsidR="00F80529" w:rsidRDefault="00633F00">
      <w:pPr>
        <w:spacing w:after="101"/>
        <w:ind w:left="278"/>
      </w:pPr>
      <w:r>
        <w:t>Dated 13</w:t>
      </w:r>
      <w:r>
        <w:rPr>
          <w:vertAlign w:val="superscript"/>
        </w:rPr>
        <w:t xml:space="preserve">th </w:t>
      </w:r>
      <w:r>
        <w:t>November, 2017</w:t>
      </w:r>
    </w:p>
    <w:p w14:paraId="391F7334" w14:textId="77777777" w:rsidR="00F80529" w:rsidRDefault="00633F00">
      <w:pPr>
        <w:spacing w:after="208" w:line="259" w:lineRule="auto"/>
        <w:ind w:left="461" w:firstLine="0"/>
        <w:jc w:val="left"/>
      </w:pPr>
      <w:r>
        <w:rPr>
          <w:noProof/>
        </w:rPr>
        <w:drawing>
          <wp:inline distT="0" distB="0" distL="0" distR="0" wp14:anchorId="4E9BEF9B" wp14:editId="4F43EDBE">
            <wp:extent cx="1219428" cy="518244"/>
            <wp:effectExtent l="0" t="0" r="0" b="0"/>
            <wp:docPr id="10838" name="Picture 10838"/>
            <wp:cNvGraphicFramePr/>
            <a:graphic xmlns:a="http://schemas.openxmlformats.org/drawingml/2006/main">
              <a:graphicData uri="http://schemas.openxmlformats.org/drawingml/2006/picture">
                <pic:pic xmlns:pic="http://schemas.openxmlformats.org/drawingml/2006/picture">
                  <pic:nvPicPr>
                    <pic:cNvPr id="10838" name="Picture 10838"/>
                    <pic:cNvPicPr/>
                  </pic:nvPicPr>
                  <pic:blipFill>
                    <a:blip r:embed="rId5"/>
                    <a:stretch>
                      <a:fillRect/>
                    </a:stretch>
                  </pic:blipFill>
                  <pic:spPr>
                    <a:xfrm>
                      <a:off x="0" y="0"/>
                      <a:ext cx="1219428" cy="518244"/>
                    </a:xfrm>
                    <a:prstGeom prst="rect">
                      <a:avLst/>
                    </a:prstGeom>
                  </pic:spPr>
                </pic:pic>
              </a:graphicData>
            </a:graphic>
          </wp:inline>
        </w:drawing>
      </w:r>
    </w:p>
    <w:p w14:paraId="069364FD" w14:textId="77777777" w:rsidR="00F80529" w:rsidRDefault="00633F00">
      <w:pPr>
        <w:spacing w:after="0" w:line="259" w:lineRule="auto"/>
        <w:ind w:left="293"/>
        <w:jc w:val="left"/>
      </w:pPr>
      <w:r>
        <w:rPr>
          <w:sz w:val="20"/>
        </w:rPr>
        <w:t xml:space="preserve">By order </w:t>
      </w:r>
      <w:r>
        <w:rPr>
          <w:sz w:val="20"/>
        </w:rPr>
        <w:t>of the Cabinet Secretary, National Treasury</w:t>
      </w:r>
    </w:p>
    <w:p w14:paraId="5F96023E" w14:textId="77777777" w:rsidR="00F80529" w:rsidRDefault="00633F00">
      <w:pPr>
        <w:ind w:left="278"/>
      </w:pPr>
      <w:r>
        <w:t>The Government of the Republic of Kenya</w:t>
      </w:r>
    </w:p>
    <w:sectPr w:rsidR="00F80529">
      <w:pgSz w:w="7710" w:h="18709"/>
      <w:pgMar w:top="1440" w:right="182" w:bottom="1181" w:left="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A5185"/>
    <w:multiLevelType w:val="hybridMultilevel"/>
    <w:tmpl w:val="3B885790"/>
    <w:lvl w:ilvl="0" w:tplc="975400E2">
      <w:start w:val="1"/>
      <w:numFmt w:val="decimal"/>
      <w:lvlText w:val="%1."/>
      <w:lvlJc w:val="left"/>
      <w:pPr>
        <w:ind w:left="2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522F020">
      <w:start w:val="1"/>
      <w:numFmt w:val="lowerLetter"/>
      <w:lvlText w:val="%2"/>
      <w:lvlJc w:val="left"/>
      <w:pPr>
        <w:ind w:left="1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344144">
      <w:start w:val="1"/>
      <w:numFmt w:val="lowerRoman"/>
      <w:lvlText w:val="%3"/>
      <w:lvlJc w:val="left"/>
      <w:pPr>
        <w:ind w:left="1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51265A2">
      <w:start w:val="1"/>
      <w:numFmt w:val="decimal"/>
      <w:lvlText w:val="%4"/>
      <w:lvlJc w:val="left"/>
      <w:pPr>
        <w:ind w:left="2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C0CCB6">
      <w:start w:val="1"/>
      <w:numFmt w:val="lowerLetter"/>
      <w:lvlText w:val="%5"/>
      <w:lvlJc w:val="left"/>
      <w:pPr>
        <w:ind w:left="3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B34B42C">
      <w:start w:val="1"/>
      <w:numFmt w:val="lowerRoman"/>
      <w:lvlText w:val="%6"/>
      <w:lvlJc w:val="left"/>
      <w:pPr>
        <w:ind w:left="3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122C2A6">
      <w:start w:val="1"/>
      <w:numFmt w:val="decimal"/>
      <w:lvlText w:val="%7"/>
      <w:lvlJc w:val="left"/>
      <w:pPr>
        <w:ind w:left="4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75C9658">
      <w:start w:val="1"/>
      <w:numFmt w:val="lowerLetter"/>
      <w:lvlText w:val="%8"/>
      <w:lvlJc w:val="left"/>
      <w:pPr>
        <w:ind w:left="54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50E028">
      <w:start w:val="1"/>
      <w:numFmt w:val="lowerRoman"/>
      <w:lvlText w:val="%9"/>
      <w:lvlJc w:val="left"/>
      <w:pPr>
        <w:ind w:left="61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D5C7645"/>
    <w:multiLevelType w:val="hybridMultilevel"/>
    <w:tmpl w:val="226843C8"/>
    <w:lvl w:ilvl="0" w:tplc="CB4CD864">
      <w:start w:val="5"/>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BA81CA">
      <w:start w:val="1"/>
      <w:numFmt w:val="lowerLetter"/>
      <w:lvlText w:val="%2."/>
      <w:lvlJc w:val="left"/>
      <w:pPr>
        <w:ind w:left="4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DED5DC">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6BA164A">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F4A9FA">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F380FEC">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A1CEC72">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18C97F4">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22AF7A6">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29"/>
    <w:rsid w:val="00633F00"/>
    <w:rsid w:val="00F8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7E16"/>
  <w15:docId w15:val="{E594A98D-1AD8-41EC-BB9F-C67EAEB2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16" w:lineRule="auto"/>
      <w:ind w:left="10" w:hanging="10"/>
      <w:jc w:val="both"/>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2802BA0F0DD4B98A44489A0D815B0" ma:contentTypeVersion="14" ma:contentTypeDescription="Create a new document." ma:contentTypeScope="" ma:versionID="b429205eea51add5460007acc9917e75">
  <xsd:schema xmlns:xsd="http://www.w3.org/2001/XMLSchema" xmlns:xs="http://www.w3.org/2001/XMLSchema" xmlns:p="http://schemas.microsoft.com/office/2006/metadata/properties" xmlns:ns2="fd56df60-4f34-4c97-a6bf-58aebd034672" xmlns:ns3="f24b682a-cea4-4865-85d1-148fd29dca54" targetNamespace="http://schemas.microsoft.com/office/2006/metadata/properties" ma:root="true" ma:fieldsID="e2a90a4c812924b7be910213e671e745" ns2:_="" ns3:_="">
    <xsd:import namespace="fd56df60-4f34-4c97-a6bf-58aebd034672"/>
    <xsd:import namespace="f24b682a-cea4-4865-85d1-148fd29dc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6df60-4f34-4c97-a6bf-58aebd034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c7bb9e-40dc-44ab-9175-e3f378d1d3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b682a-cea4-4865-85d1-148fd29dca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658f31-79fc-4802-bd31-cc277a5f51d4}" ma:internalName="TaxCatchAll" ma:showField="CatchAllData" ma:web="f24b682a-cea4-4865-85d1-148fd29dca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b682a-cea4-4865-85d1-148fd29dca54" xsi:nil="true"/>
    <lcf76f155ced4ddcb4097134ff3c332f xmlns="fd56df60-4f34-4c97-a6bf-58aebd0346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8B2321-6984-4D56-844F-19963E36C872}"/>
</file>

<file path=customXml/itemProps2.xml><?xml version="1.0" encoding="utf-8"?>
<ds:datastoreItem xmlns:ds="http://schemas.openxmlformats.org/officeDocument/2006/customXml" ds:itemID="{E79D4671-8AD9-4A22-A6EC-D40680C36662}"/>
</file>

<file path=customXml/itemProps3.xml><?xml version="1.0" encoding="utf-8"?>
<ds:datastoreItem xmlns:ds="http://schemas.openxmlformats.org/officeDocument/2006/customXml" ds:itemID="{225AB8D4-CF4A-4C4D-AEE1-A946EB7FA682}"/>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Safari - Public Announcement_Government_Nation_(HP) 33x13.6cm_OUTPUT</dc:title>
  <dc:subject/>
  <dc:creator>Sharon Kiende</dc:creator>
  <cp:keywords/>
  <cp:lastModifiedBy>Sharon Kiende</cp:lastModifiedBy>
  <cp:revision>2</cp:revision>
  <dcterms:created xsi:type="dcterms:W3CDTF">2023-07-03T12:05:00Z</dcterms:created>
  <dcterms:modified xsi:type="dcterms:W3CDTF">2023-07-03T12:05:00Z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0x0101001052802BA0F0DD4B98A44489A0D815B0</vt:lpwstr>
  </property>
</Properties>
</file>